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141DABAA" w:rsidR="00CE7250" w:rsidRDefault="00EA6825" w:rsidP="003705F6">
            <w:pPr>
              <w:pStyle w:val="En-tte"/>
            </w:pPr>
            <w:r>
              <w:rPr>
                <w:noProof/>
              </w:rPr>
              <mc:AlternateContent>
                <mc:Choice Requires="wps">
                  <w:drawing>
                    <wp:anchor distT="0" distB="0" distL="114300" distR="114300" simplePos="0" relativeHeight="251659264" behindDoc="0" locked="0" layoutInCell="1" allowOverlap="1" wp14:anchorId="514F4424" wp14:editId="3D38E3DA">
                      <wp:simplePos x="0" y="0"/>
                      <wp:positionH relativeFrom="column">
                        <wp:posOffset>104775</wp:posOffset>
                      </wp:positionH>
                      <wp:positionV relativeFrom="paragraph">
                        <wp:posOffset>8255</wp:posOffset>
                      </wp:positionV>
                      <wp:extent cx="1485900" cy="143510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1485900" cy="1435100"/>
                              </a:xfrm>
                              <a:prstGeom prst="rect">
                                <a:avLst/>
                              </a:prstGeom>
                              <a:solidFill>
                                <a:schemeClr val="lt1"/>
                              </a:solidFill>
                              <a:ln w="6350">
                                <a:noFill/>
                              </a:ln>
                            </wps:spPr>
                            <wps:txbx>
                              <w:txbxContent>
                                <w:p w14:paraId="76E763FD" w14:textId="65934DC1" w:rsidR="00EA6825" w:rsidRDefault="00EA6825">
                                  <w:r>
                                    <w:rPr>
                                      <w:noProof/>
                                    </w:rPr>
                                    <w:drawing>
                                      <wp:inline distT="0" distB="0" distL="0" distR="0" wp14:anchorId="5F1AC7F1" wp14:editId="3E1CFCF9">
                                        <wp:extent cx="1457098" cy="1282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7518" cy="130067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4F4424" id="_x0000_t202" coordsize="21600,21600" o:spt="202" path="m,l,21600r21600,l21600,xe">
                      <v:stroke joinstyle="miter"/>
                      <v:path gradientshapeok="t" o:connecttype="rect"/>
                    </v:shapetype>
                    <v:shape id="Zone de texte 3" o:spid="_x0000_s1026" type="#_x0000_t202" style="position:absolute;left:0;text-align:left;margin-left:8.25pt;margin-top:.65pt;width:117pt;height:11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" fillcolor="white [3201]" stroked="f" strokeweight=".5pt">
                      <v:textbox>
                        <w:txbxContent>
                          <w:p w14:paraId="76E763FD" w14:textId="65934DC1" w:rsidR="00EA6825" w:rsidRDefault="00EA6825">
                            <w:r>
                              <w:rPr>
                                <w:noProof/>
                              </w:rPr>
                              <w:drawing>
                                <wp:inline distT="0" distB="0" distL="0" distR="0" wp14:anchorId="5F1AC7F1" wp14:editId="3E1CFCF9">
                                  <wp:extent cx="1457098" cy="1282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7518" cy="1300676"/>
                                          </a:xfrm>
                                          <a:prstGeom prst="rect">
                                            <a:avLst/>
                                          </a:prstGeom>
                                        </pic:spPr>
                                      </pic:pic>
                                    </a:graphicData>
                                  </a:graphic>
                                </wp:inline>
                              </w:drawing>
                            </w:r>
                          </w:p>
                        </w:txbxContent>
                      </v:textbox>
                    </v:shape>
                  </w:pict>
                </mc:Fallback>
              </mc:AlternateContent>
            </w:r>
          </w:p>
        </w:tc>
        <w:tc>
          <w:tcPr>
            <w:tcW w:w="8646" w:type="dxa"/>
          </w:tcPr>
          <w:p w14:paraId="6678D4F6" w14:textId="2ED5F3D5" w:rsidR="00CE7250" w:rsidRDefault="00CE7250" w:rsidP="003705F6">
            <w:pPr>
              <w:pStyle w:val="En-tte"/>
            </w:pP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7F3F2E8E"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68282A">
        <w:rPr>
          <w:rFonts w:ascii="Arial" w:hAnsi="Arial" w:cs="Arial"/>
          <w:b/>
          <w:bCs/>
          <w:szCs w:val="22"/>
        </w:rPr>
        <w:t>37270</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rsidP="00EA6825">
      <w:pPr>
        <w:tabs>
          <w:tab w:val="left" w:pos="567"/>
        </w:tabs>
        <w:ind w:firstLine="709"/>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rsidP="0068282A">
            <w:pPr>
              <w:pStyle w:val="Retraitcorpsdetexte"/>
              <w:ind w:left="565" w:firstLine="2"/>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19B4A68" w:rsidR="00443372" w:rsidRPr="005A2D84" w:rsidRDefault="00A558A7" w:rsidP="0068282A">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57AC7C4D" w:rsidR="00443372" w:rsidRDefault="00A2597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w:t>
      </w:r>
      <w:r w:rsidR="002C4666">
        <w:rPr>
          <w:rFonts w:ascii="Arial" w:hAnsi="Arial" w:cs="Arial"/>
          <w:szCs w:val="22"/>
        </w:rPr>
        <w:t xml:space="preserve"> de</w:t>
      </w:r>
      <w:r w:rsidR="00CC7E36">
        <w:rPr>
          <w:rFonts w:ascii="Arial" w:hAnsi="Arial" w:cs="Arial"/>
          <w:szCs w:val="22"/>
        </w:rPr>
        <w:t xml:space="preserve"> pompes et accessoires au profit de la Marine nationale</w:t>
      </w:r>
      <w:r>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2A4E2024"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B44CF3">
        <w:rPr>
          <w:rFonts w:ascii="Arial" w:hAnsi="Arial" w:cs="Arial"/>
          <w:b/>
          <w:szCs w:val="22"/>
        </w:rPr>
        <w:t>13</w:t>
      </w:r>
      <w:r w:rsidR="002C4666">
        <w:rPr>
          <w:rFonts w:ascii="Arial" w:hAnsi="Arial" w:cs="Arial"/>
          <w:b/>
          <w:szCs w:val="22"/>
        </w:rPr>
        <w:t xml:space="preserve"> </w:t>
      </w:r>
      <w:r w:rsidR="00B44CF3">
        <w:rPr>
          <w:rFonts w:ascii="Arial" w:hAnsi="Arial" w:cs="Arial"/>
          <w:b/>
          <w:szCs w:val="22"/>
        </w:rPr>
        <w:t>novembre</w:t>
      </w:r>
      <w:r w:rsidR="00CA242B">
        <w:rPr>
          <w:rFonts w:ascii="Arial" w:hAnsi="Arial" w:cs="Arial"/>
          <w:b/>
          <w:szCs w:val="22"/>
        </w:rPr>
        <w:t xml:space="preserve"> 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Pr="00B44CF3" w:rsidRDefault="006504BE">
      <w:pPr>
        <w:pStyle w:val="TM1"/>
        <w:tabs>
          <w:tab w:val="left" w:pos="426"/>
          <w:tab w:val="right" w:leader="dot" w:pos="9629"/>
        </w:tabs>
        <w:rPr>
          <w:rFonts w:ascii="Arial" w:eastAsiaTheme="minorEastAsia" w:hAnsi="Arial" w:cs="Arial"/>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B44CF3">
          <w:rPr>
            <w:rStyle w:val="Lienhypertexte"/>
            <w:rFonts w:ascii="Arial" w:hAnsi="Arial" w:cs="Arial"/>
            <w:noProof/>
          </w:rPr>
          <w:t>1.</w:t>
        </w:r>
        <w:r w:rsidR="00670B56" w:rsidRPr="00B44CF3">
          <w:rPr>
            <w:rFonts w:ascii="Arial" w:eastAsiaTheme="minorEastAsia" w:hAnsi="Arial" w:cs="Arial"/>
            <w:b w:val="0"/>
            <w:bCs w:val="0"/>
            <w:caps w:val="0"/>
            <w:noProof/>
            <w:szCs w:val="22"/>
          </w:rPr>
          <w:tab/>
        </w:r>
        <w:r w:rsidR="00670B56" w:rsidRPr="00B44CF3">
          <w:rPr>
            <w:rStyle w:val="Lienhypertexte"/>
            <w:rFonts w:ascii="Arial" w:hAnsi="Arial" w:cs="Arial"/>
            <w:noProof/>
          </w:rPr>
          <w:t>oBJET ET CARACTERISTIQUES DE LA CONSULTATION</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_Toc195535238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3</w:t>
        </w:r>
        <w:r w:rsidR="00670B56" w:rsidRPr="00B44CF3">
          <w:rPr>
            <w:rFonts w:ascii="Arial" w:hAnsi="Arial" w:cs="Arial"/>
            <w:noProof/>
            <w:webHidden/>
          </w:rPr>
          <w:fldChar w:fldCharType="end"/>
        </w:r>
      </w:hyperlink>
    </w:p>
    <w:p w14:paraId="43E555EB" w14:textId="1361CF50" w:rsidR="00670B56" w:rsidRPr="00B44CF3" w:rsidRDefault="006B45FE">
      <w:pPr>
        <w:pStyle w:val="TM1"/>
        <w:tabs>
          <w:tab w:val="left" w:pos="426"/>
          <w:tab w:val="right" w:leader="dot" w:pos="9629"/>
        </w:tabs>
        <w:rPr>
          <w:rFonts w:ascii="Arial" w:eastAsiaTheme="minorEastAsia" w:hAnsi="Arial" w:cs="Arial"/>
          <w:b w:val="0"/>
          <w:bCs w:val="0"/>
          <w:caps w:val="0"/>
          <w:noProof/>
          <w:szCs w:val="22"/>
        </w:rPr>
      </w:pPr>
      <w:hyperlink w:anchor="_Toc195535239" w:history="1">
        <w:r w:rsidR="00670B56" w:rsidRPr="00B44CF3">
          <w:rPr>
            <w:rStyle w:val="Lienhypertexte"/>
            <w:rFonts w:ascii="Arial" w:hAnsi="Arial" w:cs="Arial"/>
            <w:noProof/>
          </w:rPr>
          <w:t>2.</w:t>
        </w:r>
        <w:r w:rsidR="00670B56" w:rsidRPr="00B44CF3">
          <w:rPr>
            <w:rFonts w:ascii="Arial" w:eastAsiaTheme="minorEastAsia" w:hAnsi="Arial" w:cs="Arial"/>
            <w:b w:val="0"/>
            <w:bCs w:val="0"/>
            <w:caps w:val="0"/>
            <w:noProof/>
            <w:szCs w:val="22"/>
          </w:rPr>
          <w:tab/>
        </w:r>
        <w:r w:rsidR="00670B56" w:rsidRPr="00B44CF3">
          <w:rPr>
            <w:rStyle w:val="Lienhypertexte"/>
            <w:rFonts w:ascii="Arial" w:hAnsi="Arial" w:cs="Arial"/>
            <w:noProof/>
          </w:rPr>
          <w:t>condition de la consultation</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_Toc195535239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3</w:t>
        </w:r>
        <w:r w:rsidR="00670B56" w:rsidRPr="00B44CF3">
          <w:rPr>
            <w:rFonts w:ascii="Arial" w:hAnsi="Arial" w:cs="Arial"/>
            <w:noProof/>
            <w:webHidden/>
          </w:rPr>
          <w:fldChar w:fldCharType="end"/>
        </w:r>
      </w:hyperlink>
    </w:p>
    <w:p w14:paraId="501DFA74" w14:textId="13ABB90C" w:rsidR="00670B56" w:rsidRPr="00B44CF3" w:rsidRDefault="006B45FE">
      <w:pPr>
        <w:pStyle w:val="TM1"/>
        <w:tabs>
          <w:tab w:val="left" w:pos="426"/>
          <w:tab w:val="right" w:leader="dot" w:pos="9629"/>
        </w:tabs>
        <w:rPr>
          <w:rFonts w:ascii="Arial" w:eastAsiaTheme="minorEastAsia" w:hAnsi="Arial" w:cs="Arial"/>
          <w:b w:val="0"/>
          <w:bCs w:val="0"/>
          <w:caps w:val="0"/>
          <w:noProof/>
          <w:szCs w:val="22"/>
        </w:rPr>
      </w:pPr>
      <w:hyperlink w:anchor="_Toc195535240" w:history="1">
        <w:r w:rsidR="00670B56" w:rsidRPr="00B44CF3">
          <w:rPr>
            <w:rStyle w:val="Lienhypertexte"/>
            <w:rFonts w:ascii="Arial" w:hAnsi="Arial" w:cs="Arial"/>
            <w:noProof/>
          </w:rPr>
          <w:t>3.</w:t>
        </w:r>
        <w:r w:rsidR="00670B56" w:rsidRPr="00B44CF3">
          <w:rPr>
            <w:rFonts w:ascii="Arial" w:eastAsiaTheme="minorEastAsia" w:hAnsi="Arial" w:cs="Arial"/>
            <w:b w:val="0"/>
            <w:bCs w:val="0"/>
            <w:caps w:val="0"/>
            <w:noProof/>
            <w:szCs w:val="22"/>
          </w:rPr>
          <w:tab/>
        </w:r>
        <w:r w:rsidR="00670B56" w:rsidRPr="00B44CF3">
          <w:rPr>
            <w:rStyle w:val="Lienhypertexte"/>
            <w:rFonts w:ascii="Arial" w:hAnsi="Arial" w:cs="Arial"/>
            <w:noProof/>
          </w:rPr>
          <w:t>presentation et envoi des PLIS</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_Toc195535240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4</w:t>
        </w:r>
        <w:r w:rsidR="00670B56" w:rsidRPr="00B44CF3">
          <w:rPr>
            <w:rFonts w:ascii="Arial" w:hAnsi="Arial" w:cs="Arial"/>
            <w:noProof/>
            <w:webHidden/>
          </w:rPr>
          <w:fldChar w:fldCharType="end"/>
        </w:r>
      </w:hyperlink>
    </w:p>
    <w:p w14:paraId="291E0511" w14:textId="22FAC4BE" w:rsidR="00670B56" w:rsidRPr="00B44CF3" w:rsidRDefault="006B45FE">
      <w:pPr>
        <w:pStyle w:val="TM3"/>
        <w:tabs>
          <w:tab w:val="left" w:pos="1100"/>
          <w:tab w:val="right" w:leader="dot" w:pos="9629"/>
        </w:tabs>
        <w:rPr>
          <w:rFonts w:ascii="Arial" w:eastAsiaTheme="minorEastAsia" w:hAnsi="Arial" w:cs="Arial"/>
          <w:i w:val="0"/>
          <w:iCs w:val="0"/>
          <w:noProof/>
          <w:szCs w:val="22"/>
        </w:rPr>
      </w:pPr>
      <w:hyperlink w:anchor="_Toc195535241" w:history="1">
        <w:r w:rsidR="00670B56" w:rsidRPr="00B44CF3">
          <w:rPr>
            <w:rStyle w:val="Lienhypertexte"/>
            <w:rFonts w:ascii="Arial" w:hAnsi="Arial" w:cs="Arial"/>
            <w:noProof/>
          </w:rPr>
          <w:t>3.1.</w:t>
        </w:r>
        <w:r w:rsidR="00670B56" w:rsidRPr="00B44CF3">
          <w:rPr>
            <w:rFonts w:ascii="Arial" w:eastAsiaTheme="minorEastAsia" w:hAnsi="Arial" w:cs="Arial"/>
            <w:i w:val="0"/>
            <w:iCs w:val="0"/>
            <w:noProof/>
            <w:szCs w:val="22"/>
          </w:rPr>
          <w:tab/>
        </w:r>
        <w:r w:rsidR="00670B56" w:rsidRPr="00B44CF3">
          <w:rPr>
            <w:rStyle w:val="Lienhypertexte"/>
            <w:rFonts w:ascii="Arial" w:hAnsi="Arial" w:cs="Arial"/>
            <w:noProof/>
          </w:rPr>
          <w:t>Présentation des plis</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_Toc195535241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4</w:t>
        </w:r>
        <w:r w:rsidR="00670B56" w:rsidRPr="00B44CF3">
          <w:rPr>
            <w:rFonts w:ascii="Arial" w:hAnsi="Arial" w:cs="Arial"/>
            <w:noProof/>
            <w:webHidden/>
          </w:rPr>
          <w:fldChar w:fldCharType="end"/>
        </w:r>
      </w:hyperlink>
    </w:p>
    <w:p w14:paraId="7FB5173E" w14:textId="34E0A52C" w:rsidR="00670B56" w:rsidRPr="00B44CF3" w:rsidRDefault="006B45FE">
      <w:pPr>
        <w:pStyle w:val="TM3"/>
        <w:tabs>
          <w:tab w:val="left" w:pos="1100"/>
          <w:tab w:val="right" w:leader="dot" w:pos="9629"/>
        </w:tabs>
        <w:rPr>
          <w:rFonts w:ascii="Arial" w:eastAsiaTheme="minorEastAsia" w:hAnsi="Arial" w:cs="Arial"/>
          <w:i w:val="0"/>
          <w:iCs w:val="0"/>
          <w:noProof/>
          <w:szCs w:val="22"/>
        </w:rPr>
      </w:pPr>
      <w:hyperlink w:anchor="_Toc195535242" w:history="1">
        <w:r w:rsidR="00670B56" w:rsidRPr="00B44CF3">
          <w:rPr>
            <w:rStyle w:val="Lienhypertexte"/>
            <w:rFonts w:ascii="Arial" w:hAnsi="Arial" w:cs="Arial"/>
            <w:noProof/>
          </w:rPr>
          <w:t>3.2.</w:t>
        </w:r>
        <w:r w:rsidR="00670B56" w:rsidRPr="00B44CF3">
          <w:rPr>
            <w:rFonts w:ascii="Arial" w:eastAsiaTheme="minorEastAsia" w:hAnsi="Arial" w:cs="Arial"/>
            <w:i w:val="0"/>
            <w:iCs w:val="0"/>
            <w:noProof/>
            <w:szCs w:val="22"/>
          </w:rPr>
          <w:tab/>
        </w:r>
        <w:r w:rsidR="00670B56" w:rsidRPr="00B44CF3">
          <w:rPr>
            <w:rStyle w:val="Lienhypertexte"/>
            <w:rFonts w:ascii="Arial" w:hAnsi="Arial" w:cs="Arial"/>
            <w:noProof/>
          </w:rPr>
          <w:t>Condition d’envoi des plis</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_Toc195535242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5</w:t>
        </w:r>
        <w:r w:rsidR="00670B56" w:rsidRPr="00B44CF3">
          <w:rPr>
            <w:rFonts w:ascii="Arial" w:hAnsi="Arial" w:cs="Arial"/>
            <w:noProof/>
            <w:webHidden/>
          </w:rPr>
          <w:fldChar w:fldCharType="end"/>
        </w:r>
      </w:hyperlink>
    </w:p>
    <w:p w14:paraId="61499CF5" w14:textId="0E802588" w:rsidR="00670B56" w:rsidRPr="00B44CF3" w:rsidRDefault="006B45FE">
      <w:pPr>
        <w:pStyle w:val="TM3"/>
        <w:tabs>
          <w:tab w:val="left" w:pos="1100"/>
          <w:tab w:val="right" w:leader="dot" w:pos="9629"/>
        </w:tabs>
        <w:rPr>
          <w:rFonts w:ascii="Arial" w:eastAsiaTheme="minorEastAsia" w:hAnsi="Arial" w:cs="Arial"/>
          <w:i w:val="0"/>
          <w:iCs w:val="0"/>
          <w:noProof/>
          <w:szCs w:val="22"/>
        </w:rPr>
      </w:pPr>
      <w:hyperlink w:anchor="_Toc195535243" w:history="1">
        <w:r w:rsidR="00670B56" w:rsidRPr="00B44CF3">
          <w:rPr>
            <w:rStyle w:val="Lienhypertexte"/>
            <w:rFonts w:ascii="Arial" w:hAnsi="Arial" w:cs="Arial"/>
            <w:noProof/>
          </w:rPr>
          <w:t>3.3.</w:t>
        </w:r>
        <w:r w:rsidR="00670B56" w:rsidRPr="00B44CF3">
          <w:rPr>
            <w:rFonts w:ascii="Arial" w:eastAsiaTheme="minorEastAsia" w:hAnsi="Arial" w:cs="Arial"/>
            <w:i w:val="0"/>
            <w:iCs w:val="0"/>
            <w:noProof/>
            <w:szCs w:val="22"/>
          </w:rPr>
          <w:tab/>
        </w:r>
        <w:r w:rsidR="00670B56" w:rsidRPr="00B44CF3">
          <w:rPr>
            <w:rStyle w:val="Lienhypertexte"/>
            <w:rFonts w:ascii="Arial" w:hAnsi="Arial" w:cs="Arial"/>
            <w:noProof/>
          </w:rPr>
          <w:t>Date de remise des offres</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_Toc195535243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6</w:t>
        </w:r>
        <w:r w:rsidR="00670B56" w:rsidRPr="00B44CF3">
          <w:rPr>
            <w:rFonts w:ascii="Arial" w:hAnsi="Arial" w:cs="Arial"/>
            <w:noProof/>
            <w:webHidden/>
          </w:rPr>
          <w:fldChar w:fldCharType="end"/>
        </w:r>
      </w:hyperlink>
    </w:p>
    <w:p w14:paraId="60175186" w14:textId="097F4570" w:rsidR="00670B56" w:rsidRPr="00B44CF3" w:rsidRDefault="006B45FE">
      <w:pPr>
        <w:pStyle w:val="TM1"/>
        <w:tabs>
          <w:tab w:val="left" w:pos="426"/>
          <w:tab w:val="right" w:leader="dot" w:pos="9629"/>
        </w:tabs>
        <w:rPr>
          <w:rFonts w:ascii="Arial" w:eastAsiaTheme="minorEastAsia" w:hAnsi="Arial" w:cs="Arial"/>
          <w:b w:val="0"/>
          <w:bCs w:val="0"/>
          <w:caps w:val="0"/>
          <w:noProof/>
          <w:szCs w:val="22"/>
        </w:rPr>
      </w:pPr>
      <w:hyperlink w:anchor="_Toc195535244" w:history="1">
        <w:r w:rsidR="00670B56" w:rsidRPr="00B44CF3">
          <w:rPr>
            <w:rStyle w:val="Lienhypertexte"/>
            <w:rFonts w:ascii="Arial" w:hAnsi="Arial" w:cs="Arial"/>
            <w:noProof/>
          </w:rPr>
          <w:t>4.</w:t>
        </w:r>
        <w:r w:rsidR="00670B56" w:rsidRPr="00B44CF3">
          <w:rPr>
            <w:rFonts w:ascii="Arial" w:eastAsiaTheme="minorEastAsia" w:hAnsi="Arial" w:cs="Arial"/>
            <w:b w:val="0"/>
            <w:bCs w:val="0"/>
            <w:caps w:val="0"/>
            <w:noProof/>
            <w:szCs w:val="22"/>
          </w:rPr>
          <w:tab/>
        </w:r>
        <w:r w:rsidR="00670B56" w:rsidRPr="00B44CF3">
          <w:rPr>
            <w:rStyle w:val="Lienhypertexte"/>
            <w:rFonts w:ascii="Arial" w:hAnsi="Arial" w:cs="Arial"/>
            <w:noProof/>
          </w:rPr>
          <w:t>jugement des CANDIDATURES ET DES OFFRES</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_Toc195535244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6</w:t>
        </w:r>
        <w:r w:rsidR="00670B56" w:rsidRPr="00B44CF3">
          <w:rPr>
            <w:rFonts w:ascii="Arial" w:hAnsi="Arial" w:cs="Arial"/>
            <w:noProof/>
            <w:webHidden/>
          </w:rPr>
          <w:fldChar w:fldCharType="end"/>
        </w:r>
      </w:hyperlink>
    </w:p>
    <w:p w14:paraId="799F5872" w14:textId="7630439F" w:rsidR="00670B56" w:rsidRDefault="006B45FE">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B44CF3">
          <w:rPr>
            <w:rStyle w:val="Lienhypertexte"/>
            <w:rFonts w:ascii="Arial" w:hAnsi="Arial" w:cs="Arial"/>
            <w:noProof/>
          </w:rPr>
          <w:t>4.1.</w:t>
        </w:r>
        <w:r w:rsidR="00670B56" w:rsidRPr="00B44CF3">
          <w:rPr>
            <w:rFonts w:ascii="Arial" w:eastAsiaTheme="minorEastAsia" w:hAnsi="Arial" w:cs="Arial"/>
            <w:i w:val="0"/>
            <w:iCs w:val="0"/>
            <w:noProof/>
            <w:szCs w:val="22"/>
          </w:rPr>
          <w:tab/>
        </w:r>
        <w:r w:rsidR="00670B56" w:rsidRPr="00B44CF3">
          <w:rPr>
            <w:rStyle w:val="Lienhypertexte"/>
            <w:rFonts w:ascii="Arial" w:hAnsi="Arial" w:cs="Arial"/>
            <w:noProof/>
          </w:rPr>
          <w:t>Jugement des candidatures</w:t>
        </w:r>
        <w:r w:rsidR="00670B56" w:rsidRPr="00B44CF3">
          <w:rPr>
            <w:rFonts w:ascii="Arial" w:hAnsi="Arial" w:cs="Arial"/>
            <w:noProof/>
            <w:webHidden/>
          </w:rPr>
          <w:tab/>
        </w:r>
        <w:r w:rsidR="00670B56" w:rsidRPr="00B44CF3">
          <w:rPr>
            <w:rFonts w:ascii="Arial" w:hAnsi="Arial" w:cs="Arial"/>
            <w:noProof/>
            <w:webHidden/>
          </w:rPr>
          <w:fldChar w:fldCharType="begin"/>
        </w:r>
        <w:r w:rsidR="00670B56" w:rsidRPr="00B44CF3">
          <w:rPr>
            <w:rFonts w:ascii="Arial" w:hAnsi="Arial" w:cs="Arial"/>
            <w:noProof/>
            <w:webHidden/>
          </w:rPr>
          <w:instrText xml:space="preserve"> PAGEREF _Toc195535245 \h </w:instrText>
        </w:r>
        <w:r w:rsidR="00670B56" w:rsidRPr="00B44CF3">
          <w:rPr>
            <w:rFonts w:ascii="Arial" w:hAnsi="Arial" w:cs="Arial"/>
            <w:noProof/>
            <w:webHidden/>
          </w:rPr>
        </w:r>
        <w:r w:rsidR="00670B56" w:rsidRPr="00B44CF3">
          <w:rPr>
            <w:rFonts w:ascii="Arial" w:hAnsi="Arial" w:cs="Arial"/>
            <w:noProof/>
            <w:webHidden/>
          </w:rPr>
          <w:fldChar w:fldCharType="separate"/>
        </w:r>
        <w:r w:rsidR="00670B56" w:rsidRPr="00B44CF3">
          <w:rPr>
            <w:rFonts w:ascii="Arial" w:hAnsi="Arial" w:cs="Arial"/>
            <w:noProof/>
            <w:webHidden/>
          </w:rPr>
          <w:t>6</w:t>
        </w:r>
        <w:r w:rsidR="00670B56" w:rsidRPr="00B44CF3">
          <w:rPr>
            <w:rFonts w:ascii="Arial" w:hAnsi="Arial" w:cs="Arial"/>
            <w:noProof/>
            <w:webHidden/>
          </w:rPr>
          <w:fldChar w:fldCharType="end"/>
        </w:r>
      </w:hyperlink>
    </w:p>
    <w:p w14:paraId="7110F44A" w14:textId="31D0AAAD" w:rsidR="00670B56" w:rsidRDefault="006B45FE">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6B45F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5AC1C406"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74005">
        <w:rPr>
          <w:rFonts w:ascii="Arial" w:hAnsi="Arial" w:cs="Arial"/>
          <w:szCs w:val="22"/>
        </w:rPr>
        <w:t>l’</w:t>
      </w:r>
      <w:r w:rsidR="00174005">
        <w:rPr>
          <w:rFonts w:ascii="Arial" w:hAnsi="Arial" w:cs="Arial"/>
          <w:szCs w:val="22"/>
          <w:lang w:val="fr-FR"/>
        </w:rPr>
        <w:t>a</w:t>
      </w:r>
      <w:r w:rsidR="00174005" w:rsidRPr="00174005">
        <w:rPr>
          <w:rFonts w:ascii="Arial" w:hAnsi="Arial" w:cs="Arial"/>
          <w:szCs w:val="22"/>
        </w:rPr>
        <w:t xml:space="preserve">pprovisionnement </w:t>
      </w:r>
      <w:r w:rsidR="002C4666">
        <w:rPr>
          <w:rFonts w:ascii="Arial" w:hAnsi="Arial" w:cs="Arial"/>
          <w:szCs w:val="22"/>
          <w:lang w:val="fr-FR"/>
        </w:rPr>
        <w:t xml:space="preserve">de </w:t>
      </w:r>
      <w:r w:rsidR="00584D1D">
        <w:rPr>
          <w:rFonts w:ascii="Arial" w:hAnsi="Arial" w:cs="Arial"/>
          <w:szCs w:val="22"/>
          <w:lang w:val="fr-FR"/>
        </w:rPr>
        <w:t>pompes et accessoires</w:t>
      </w:r>
      <w:r w:rsidR="002C4666">
        <w:rPr>
          <w:rFonts w:ascii="Arial" w:hAnsi="Arial" w:cs="Arial"/>
          <w:szCs w:val="22"/>
          <w:lang w:val="fr-FR"/>
        </w:rPr>
        <w:t xml:space="preserve"> au profit de </w:t>
      </w:r>
      <w:r w:rsidR="00174005">
        <w:rPr>
          <w:rFonts w:ascii="Arial" w:hAnsi="Arial" w:cs="Arial"/>
          <w:szCs w:val="22"/>
        </w:rPr>
        <w:t xml:space="preserve">la Marine </w:t>
      </w:r>
      <w:r w:rsidR="002C4666">
        <w:rPr>
          <w:rFonts w:ascii="Arial" w:hAnsi="Arial" w:cs="Arial"/>
          <w:szCs w:val="22"/>
          <w:lang w:val="fr-FR"/>
        </w:rPr>
        <w:t>n</w:t>
      </w:r>
      <w:r w:rsidR="00174005">
        <w:rPr>
          <w:rFonts w:ascii="Arial" w:hAnsi="Arial" w:cs="Arial"/>
          <w:szCs w:val="22"/>
        </w:rPr>
        <w:t>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7" w:name="_Toc36259022"/>
      <w:bookmarkStart w:id="8" w:name="_Toc42327874"/>
      <w:bookmarkStart w:id="9" w:name="_Toc254166740"/>
      <w:bookmarkStart w:id="10" w:name="_Toc195535239"/>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4" w:name="_Toc254166741"/>
      <w:bookmarkStart w:id="15" w:name="_Toc195535240"/>
      <w:bookmarkStart w:id="16" w:name="_Toc36259027"/>
      <w:bookmarkStart w:id="17" w:name="_Toc42327878"/>
      <w:bookmarkEnd w:id="5"/>
      <w:bookmarkEnd w:id="6"/>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4"/>
      <w:bookmarkEnd w:id="15"/>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8" w:name="_Toc254166742"/>
      <w:bookmarkStart w:id="19" w:name="_Toc195535241"/>
      <w:r w:rsidRPr="005A2D84">
        <w:t xml:space="preserve">Présentation des </w:t>
      </w:r>
      <w:r w:rsidR="00333571" w:rsidRPr="005A2D84">
        <w:t>plis</w:t>
      </w:r>
      <w:bookmarkEnd w:id="18"/>
      <w:bookmarkEnd w:id="19"/>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6"/>
    <w:bookmarkEnd w:id="17"/>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4751328D" w:rsidR="002D57EC" w:rsidRPr="00D62785" w:rsidRDefault="002C4666" w:rsidP="00730A95">
            <w:pPr>
              <w:pStyle w:val="Listepuces1"/>
              <w:tabs>
                <w:tab w:val="clear" w:pos="567"/>
              </w:tabs>
              <w:ind w:left="356" w:hanging="285"/>
              <w:rPr>
                <w:rFonts w:ascii="Arial" w:hAnsi="Arial" w:cs="Arial"/>
                <w:szCs w:val="22"/>
              </w:rPr>
            </w:pPr>
            <w:r>
              <w:rPr>
                <w:rFonts w:ascii="Arial" w:hAnsi="Arial" w:cs="Arial"/>
              </w:rPr>
              <w:t>u</w:t>
            </w:r>
            <w:r w:rsidRPr="00A12362">
              <w:rPr>
                <w:rFonts w:ascii="Arial" w:hAnsi="Arial" w:cs="Arial"/>
              </w:rPr>
              <w:t>ne spécification générale d’approvisionnement N° SDLOG/260/</w:t>
            </w:r>
            <w:r>
              <w:rPr>
                <w:rFonts w:ascii="Arial" w:hAnsi="Arial" w:cs="Arial"/>
              </w:rPr>
              <w:t>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0" w:name="_Toc52071126"/>
      <w:bookmarkStart w:id="21" w:name="_Toc91557609"/>
      <w:bookmarkStart w:id="22" w:name="_Toc254166743"/>
      <w:bookmarkStart w:id="23" w:name="_Toc195535242"/>
      <w:bookmarkStart w:id="24" w:name="_Toc36259028"/>
      <w:r w:rsidRPr="005A2D84">
        <w:t>Condition d’e</w:t>
      </w:r>
      <w:r w:rsidR="00443372" w:rsidRPr="005A2D84">
        <w:t xml:space="preserve">nvoi des </w:t>
      </w:r>
      <w:r w:rsidR="00333571" w:rsidRPr="005A2D84">
        <w:t>plis</w:t>
      </w:r>
      <w:bookmarkEnd w:id="20"/>
      <w:bookmarkEnd w:id="21"/>
      <w:bookmarkEnd w:id="22"/>
      <w:bookmarkEnd w:id="23"/>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5" w:name="_Toc469464712"/>
      <w:bookmarkEnd w:id="25"/>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6B45FE"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6" w:name="_Toc254166744"/>
      <w:bookmarkStart w:id="27" w:name="_Toc195535243"/>
      <w:bookmarkStart w:id="28" w:name="_Toc51128882"/>
      <w:bookmarkStart w:id="29" w:name="_Toc51996824"/>
      <w:bookmarkStart w:id="30" w:name="_Toc51997110"/>
      <w:bookmarkStart w:id="31" w:name="_Toc51997618"/>
      <w:bookmarkStart w:id="32" w:name="_Toc52164628"/>
      <w:bookmarkStart w:id="33" w:name="_Toc91557610"/>
      <w:bookmarkStart w:id="34" w:name="_Toc130354342"/>
      <w:r w:rsidRPr="005A2D84">
        <w:t>Date de remise des offres</w:t>
      </w:r>
      <w:bookmarkEnd w:id="26"/>
      <w:bookmarkEnd w:id="27"/>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5" w:name="_Toc234058939"/>
      <w:bookmarkStart w:id="36" w:name="_Toc195535244"/>
      <w:bookmarkStart w:id="37" w:name="_Toc234058940"/>
      <w:bookmarkEnd w:id="24"/>
      <w:bookmarkEnd w:id="28"/>
      <w:bookmarkEnd w:id="29"/>
      <w:bookmarkEnd w:id="30"/>
      <w:bookmarkEnd w:id="31"/>
      <w:bookmarkEnd w:id="32"/>
      <w:bookmarkEnd w:id="33"/>
      <w:bookmarkEnd w:id="34"/>
      <w:r w:rsidRPr="005A2D84">
        <w:rPr>
          <w:rFonts w:ascii="Arial" w:hAnsi="Arial" w:cs="Arial"/>
          <w:szCs w:val="22"/>
        </w:rPr>
        <w:t>jugement des CANDIDATURES ET DES OFFRES</w:t>
      </w:r>
      <w:bookmarkEnd w:id="35"/>
      <w:bookmarkEnd w:id="36"/>
    </w:p>
    <w:p w14:paraId="384BABD1" w14:textId="77777777" w:rsidR="00443372" w:rsidRPr="005A2D84" w:rsidRDefault="00443372" w:rsidP="00E85CEB">
      <w:pPr>
        <w:pStyle w:val="Titre3"/>
      </w:pPr>
      <w:bookmarkStart w:id="38" w:name="_Toc195535245"/>
      <w:r w:rsidRPr="005A2D84">
        <w:t>Jugement des candidatures</w:t>
      </w:r>
      <w:bookmarkEnd w:id="37"/>
      <w:bookmarkEnd w:id="38"/>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39" w:name="_Toc234058941"/>
      <w:bookmarkStart w:id="40" w:name="_Toc195535246"/>
      <w:r w:rsidRPr="005A2D84">
        <w:t>Critères de classement des offres et attribution du marché</w:t>
      </w:r>
      <w:bookmarkEnd w:id="39"/>
      <w:bookmarkEnd w:id="40"/>
    </w:p>
    <w:p w14:paraId="03F684BF" w14:textId="77777777" w:rsidR="001B25B5" w:rsidRPr="005A2D84" w:rsidRDefault="001B25B5" w:rsidP="006E533B">
      <w:pPr>
        <w:pStyle w:val="Paragraphe"/>
        <w:ind w:firstLine="0"/>
        <w:rPr>
          <w:rFonts w:ascii="Arial" w:hAnsi="Arial" w:cs="Arial"/>
          <w:szCs w:val="22"/>
        </w:rPr>
      </w:pPr>
      <w:bookmarkStart w:id="41" w:name="_Toc131825450"/>
      <w:bookmarkStart w:id="42"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5C2AE85F" w:rsidR="00443372" w:rsidRDefault="00443372" w:rsidP="006B45FE">
      <w:pPr>
        <w:spacing w:after="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5217E58" w14:textId="77777777" w:rsidR="006B45FE" w:rsidRDefault="006B45FE" w:rsidP="006B45FE">
      <w:pPr>
        <w:spacing w:before="0" w:after="120"/>
        <w:rPr>
          <w:rFonts w:ascii="Arial" w:hAnsi="Arial" w:cs="Arial"/>
          <w:szCs w:val="22"/>
        </w:rPr>
      </w:pP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36756A0B" w:rsidR="00FB7427" w:rsidRDefault="00FB7427" w:rsidP="006B45FE">
      <w:pPr>
        <w:spacing w:before="0" w:after="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171EBE1" w14:textId="77777777" w:rsidR="006B45FE" w:rsidRPr="00FB7427" w:rsidRDefault="006B45FE" w:rsidP="00577FF5">
      <w:pPr>
        <w:spacing w:before="0" w:after="120"/>
        <w:rPr>
          <w:rFonts w:ascii="Arial" w:hAnsi="Arial" w:cs="Arial"/>
          <w:color w:val="000000"/>
          <w:szCs w:val="22"/>
        </w:rPr>
      </w:pP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lastRenderedPageBreak/>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BCDBBD6" w:rsidR="007339D5" w:rsidRDefault="007339D5" w:rsidP="006E533B">
      <w:pPr>
        <w:tabs>
          <w:tab w:val="left" w:pos="0"/>
        </w:tabs>
        <w:spacing w:before="120" w:after="0"/>
        <w:ind w:right="40"/>
        <w:rPr>
          <w:rFonts w:ascii="Arial" w:hAnsi="Arial" w:cs="Arial"/>
          <w:color w:val="000000"/>
          <w:szCs w:val="22"/>
        </w:rPr>
      </w:pPr>
    </w:p>
    <w:p w14:paraId="1EAC08D0" w14:textId="77777777" w:rsidR="006B45FE" w:rsidRPr="005A2D84" w:rsidRDefault="006B45FE"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A0F4D53" w:rsidR="00C634C7" w:rsidRDefault="00C634C7" w:rsidP="00577FF5">
      <w:pPr>
        <w:spacing w:before="0" w:after="0"/>
        <w:ind w:left="714"/>
        <w:jc w:val="left"/>
        <w:rPr>
          <w:rFonts w:ascii="Arial" w:hAnsi="Arial" w:cs="Arial"/>
          <w:b/>
          <w:bCs/>
          <w:color w:val="000000"/>
          <w:szCs w:val="22"/>
        </w:rPr>
      </w:pPr>
    </w:p>
    <w:p w14:paraId="38165679" w14:textId="77777777" w:rsidR="006B45FE" w:rsidRPr="005A2D84" w:rsidRDefault="006B45FE"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1"/>
      <w:bookmarkEnd w:id="42"/>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571F4275" w:rsidR="00C660EC"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65455A8B" w14:textId="678B8DE8" w:rsidR="006B45FE" w:rsidRDefault="006B45FE" w:rsidP="00C660EC">
      <w:pPr>
        <w:pStyle w:val="Normalcentr"/>
        <w:widowControl w:val="0"/>
        <w:autoSpaceDE w:val="0"/>
        <w:autoSpaceDN w:val="0"/>
        <w:adjustRightInd w:val="0"/>
        <w:ind w:left="0" w:right="0"/>
        <w:rPr>
          <w:rFonts w:ascii="Arial" w:hAnsi="Arial" w:cs="Arial"/>
          <w:szCs w:val="22"/>
        </w:rPr>
      </w:pPr>
    </w:p>
    <w:p w14:paraId="6FCFE235" w14:textId="6BA10C88" w:rsidR="006B45FE" w:rsidRDefault="006B45FE" w:rsidP="00C660EC">
      <w:pPr>
        <w:pStyle w:val="Normalcentr"/>
        <w:widowControl w:val="0"/>
        <w:autoSpaceDE w:val="0"/>
        <w:autoSpaceDN w:val="0"/>
        <w:adjustRightInd w:val="0"/>
        <w:ind w:left="0" w:right="0"/>
        <w:rPr>
          <w:rFonts w:ascii="Arial" w:hAnsi="Arial" w:cs="Arial"/>
          <w:szCs w:val="22"/>
        </w:rPr>
      </w:pPr>
    </w:p>
    <w:p w14:paraId="1C6AB8AA" w14:textId="77777777" w:rsidR="006B45FE" w:rsidRPr="007E23CE" w:rsidRDefault="006B45FE" w:rsidP="00C660EC">
      <w:pPr>
        <w:pStyle w:val="Normalcentr"/>
        <w:widowControl w:val="0"/>
        <w:autoSpaceDE w:val="0"/>
        <w:autoSpaceDN w:val="0"/>
        <w:adjustRightInd w:val="0"/>
        <w:ind w:left="0" w:right="0"/>
        <w:rPr>
          <w:rFonts w:ascii="Arial" w:hAnsi="Arial" w:cs="Arial"/>
          <w:szCs w:val="22"/>
        </w:rPr>
      </w:pPr>
      <w:bookmarkStart w:id="43" w:name="_GoBack"/>
      <w:bookmarkEnd w:id="43"/>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50796262" w:rsidR="00FF13F7" w:rsidRPr="005A2D84" w:rsidRDefault="0025781F"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BA7EF5">
        <w:rPr>
          <w:rFonts w:ascii="Arial" w:hAnsi="Arial" w:cs="Arial"/>
          <w:szCs w:val="22"/>
        </w:rPr>
        <w:t>L</w:t>
      </w:r>
      <w:r>
        <w:rPr>
          <w:rFonts w:ascii="Arial" w:hAnsi="Arial" w:cs="Arial"/>
          <w:szCs w:val="22"/>
        </w:rPr>
        <w:t>a</w:t>
      </w:r>
      <w:r w:rsidRPr="00A12362">
        <w:rPr>
          <w:rFonts w:ascii="Arial" w:hAnsi="Arial" w:cs="Arial"/>
        </w:rPr>
        <w:t xml:space="preserve"> spécification générale d’approvisionnement</w:t>
      </w:r>
      <w:r>
        <w:rPr>
          <w:rFonts w:ascii="Arial" w:hAnsi="Arial" w:cs="Arial"/>
        </w:rPr>
        <w:t xml:space="preserve"> (SGA)</w:t>
      </w:r>
      <w:r w:rsidRPr="00A12362">
        <w:rPr>
          <w:rFonts w:ascii="Arial" w:hAnsi="Arial" w:cs="Arial"/>
        </w:rPr>
        <w:t xml:space="preserve"> N° SDLOG/260/</w:t>
      </w:r>
      <w:r>
        <w:rPr>
          <w:rFonts w:ascii="Arial" w:hAnsi="Arial" w:cs="Arial"/>
        </w:rPr>
        <w:t>O</w:t>
      </w:r>
      <w:r w:rsidR="00FF13F7"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35EC4E7"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 xml:space="preserve">N° </w:t>
    </w:r>
    <w:r w:rsidRPr="004A512C">
      <w:rPr>
        <w:rStyle w:val="Numrodepage"/>
        <w:rFonts w:ascii="Marianne" w:hAnsi="Marianne"/>
        <w:sz w:val="12"/>
        <w:szCs w:val="12"/>
      </w:rPr>
      <w:t>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B44CF3">
      <w:rPr>
        <w:rStyle w:val="Numrodepage"/>
        <w:rFonts w:ascii="Marianne" w:hAnsi="Marianne"/>
        <w:sz w:val="12"/>
        <w:szCs w:val="12"/>
      </w:rPr>
      <w:t>728</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6B45FE">
      <w:rPr>
        <w:rStyle w:val="Numrodepage"/>
        <w:rFonts w:ascii="Marianne" w:hAnsi="Marianne"/>
        <w:noProof/>
        <w:sz w:val="12"/>
        <w:szCs w:val="12"/>
      </w:rPr>
      <w:t>8</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6B45FE">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0F5D"/>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7786"/>
    <w:rsid w:val="001450F2"/>
    <w:rsid w:val="001456AD"/>
    <w:rsid w:val="00150368"/>
    <w:rsid w:val="0015718D"/>
    <w:rsid w:val="00163631"/>
    <w:rsid w:val="0016627F"/>
    <w:rsid w:val="00172D1B"/>
    <w:rsid w:val="00174005"/>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4806"/>
    <w:rsid w:val="00206A5C"/>
    <w:rsid w:val="0021019E"/>
    <w:rsid w:val="002125A9"/>
    <w:rsid w:val="00222C1A"/>
    <w:rsid w:val="0024279A"/>
    <w:rsid w:val="00247FBF"/>
    <w:rsid w:val="00250E53"/>
    <w:rsid w:val="002573EF"/>
    <w:rsid w:val="0025781F"/>
    <w:rsid w:val="00261796"/>
    <w:rsid w:val="00265080"/>
    <w:rsid w:val="002719DF"/>
    <w:rsid w:val="00274BCC"/>
    <w:rsid w:val="00287E55"/>
    <w:rsid w:val="00297F17"/>
    <w:rsid w:val="002A4498"/>
    <w:rsid w:val="002B3296"/>
    <w:rsid w:val="002C1DFE"/>
    <w:rsid w:val="002C4666"/>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D133B"/>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84D1D"/>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8282A"/>
    <w:rsid w:val="006914E1"/>
    <w:rsid w:val="006952DE"/>
    <w:rsid w:val="006A2255"/>
    <w:rsid w:val="006A2DE5"/>
    <w:rsid w:val="006A7F9B"/>
    <w:rsid w:val="006B4344"/>
    <w:rsid w:val="006B45FE"/>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222AC"/>
    <w:rsid w:val="00B31FA3"/>
    <w:rsid w:val="00B35C0F"/>
    <w:rsid w:val="00B362B2"/>
    <w:rsid w:val="00B37A6E"/>
    <w:rsid w:val="00B41916"/>
    <w:rsid w:val="00B41B21"/>
    <w:rsid w:val="00B44CF3"/>
    <w:rsid w:val="00B47AAC"/>
    <w:rsid w:val="00B503DB"/>
    <w:rsid w:val="00B512E0"/>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2B"/>
    <w:rsid w:val="00CA2472"/>
    <w:rsid w:val="00CA642D"/>
    <w:rsid w:val="00CB209D"/>
    <w:rsid w:val="00CB3BF1"/>
    <w:rsid w:val="00CB4526"/>
    <w:rsid w:val="00CB4938"/>
    <w:rsid w:val="00CC2B1D"/>
    <w:rsid w:val="00CC69C0"/>
    <w:rsid w:val="00CC7263"/>
    <w:rsid w:val="00CC7E36"/>
    <w:rsid w:val="00CE4B06"/>
    <w:rsid w:val="00CE618A"/>
    <w:rsid w:val="00CE7250"/>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76452"/>
    <w:rsid w:val="00E82BAE"/>
    <w:rsid w:val="00E82F8D"/>
    <w:rsid w:val="00E85CEB"/>
    <w:rsid w:val="00E86671"/>
    <w:rsid w:val="00E925C3"/>
    <w:rsid w:val="00EA172F"/>
    <w:rsid w:val="00EA4AED"/>
    <w:rsid w:val="00EA6825"/>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601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DE12-A82A-455A-AA35-2ED4AD6F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92</TotalTime>
  <Pages>9</Pages>
  <Words>2853</Words>
  <Characters>17026</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19840</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DOME Carole SA CL EXCEPT</cp:lastModifiedBy>
  <cp:revision>38</cp:revision>
  <cp:lastPrinted>2015-11-13T09:08:00Z</cp:lastPrinted>
  <dcterms:created xsi:type="dcterms:W3CDTF">2025-04-14T08:29:00Z</dcterms:created>
  <dcterms:modified xsi:type="dcterms:W3CDTF">2025-10-23T08:40:00Z</dcterms:modified>
</cp:coreProperties>
</file>